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01696F"/>
          <w:sz w:val="16"/>
          <w:szCs w:val="16"/>
          <w:rFonts w:ascii="Calibri" w:cs="Calibri" w:eastAsia="Calibri" w:hAnsi="Calibri"/>
        </w:rPr>
        <w:t xml:space="preserve">AI STRATEGIC COMPASS</w:t>
      </w:r>
    </w:p>
    <w:p>
      <w:pPr>
        <w:spacing w:after="120"/>
      </w:pPr>
      <w:r>
        <w:rPr>
          <w:color w:val="23201A"/>
          <w:sz w:val="40"/>
          <w:szCs w:val="40"/>
          <w:rFonts w:ascii="Calibri" w:cs="Calibri" w:eastAsia="Calibri" w:hAnsi="Calibri"/>
        </w:rPr>
        <w:t xml:space="preserve">Decision rights</w:t>
      </w:r>
    </w:p>
    <w:p>
      <w:pPr>
        <w:spacing w:after="120" w:before="0"/>
      </w:pPr>
      <w:r>
        <w:rPr>
          <w:color w:val="65625B"/>
          <w:sz w:val="21"/>
          <w:szCs w:val="21"/>
          <w:rFonts w:ascii="Calibri" w:cs="Calibri" w:eastAsia="Calibri" w:hAnsi="Calibri"/>
        </w:rPr>
        <w:t xml:space="preserve">Who decides at each review band. The defaults below match the AI Strategic Compass site. Rename roles, adjust timeframes, and add your own bodies, then publish the result so proposers know what to expect.</w:t>
      </w:r>
    </w:p>
    <w:p>
      <w:pPr>
        <w:spacing w:after="160"/>
      </w:pPr>
      <w:r>
        <w:rPr>
          <w:rFonts w:ascii="Calibri" w:hAnsi="Calibri"/>
          <w:i/>
          <w:color w:val="964219"/>
          <w:sz w:val="18"/>
        </w:rPr>
        <w:t xml:space="preserve">Representative only: the criteria, roles, timeframes, and examples in this template are illustrative, not actual institutional policy. Adapt them before use.</w:t>
      </w:r>
    </w:p>
    <w:p>
      <w:pPr>
        <w:spacing w:before="280" w:after="100"/>
      </w:pPr>
      <w:r>
        <w:rPr>
          <w:b/>
          <w:bCs/>
          <w:color w:val="01696F"/>
          <w:sz w:val="26"/>
          <w:szCs w:val="26"/>
          <w:rFonts w:ascii="Calibri" w:cs="Calibri" w:eastAsia="Calibri" w:hAnsi="Calibri"/>
        </w:rPr>
        <w:t xml:space="preserve">Institution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30%"/>
            <w:tcBorders>
              <w:top w:val="single" w:color="DCD8CF" w:sz="4"/>
              <w:left w:val="single" w:color="DCD8CF" w:sz="4"/>
              <w:bottom w:val="single" w:color="DCD8CF" w:sz="4"/>
              <w:right w:val="single" w:color="DCD8CF" w:sz="4"/>
            </w:tcBorders>
            <w:shd w:fill="EEF4F1" w:color="auto" w:val="clear"/>
            <w:tcMar>
              <w:top w:type="dxa" w:w="80"/>
              <w:left w:type="dxa" w:w="100"/>
              <w:bottom w:type="dxa" w:w="80"/>
              <w:right w:type="dxa" w:w="100"/>
            </w:tcMar>
          </w:tcPr>
          <w:p>
            <w:r>
              <w:rPr>
                <w:b/>
                <w:bCs/>
                <w:sz w:val="19"/>
                <w:szCs w:val="19"/>
                <w:rFonts w:ascii="Calibri" w:cs="Calibri" w:eastAsia="Calibri" w:hAnsi="Calibri"/>
              </w:rPr>
              <w:t xml:space="preserve">Field</w:t>
            </w:r>
          </w:p>
        </w:tc>
        <w:tc>
          <w:tcPr>
            <w:tcW w:type="pct" w:w="70%"/>
            <w:tcBorders>
              <w:top w:val="single" w:color="DCD8CF" w:sz="4"/>
              <w:left w:val="single" w:color="DCD8CF" w:sz="4"/>
              <w:bottom w:val="single" w:color="DCD8CF" w:sz="4"/>
              <w:right w:val="single" w:color="DCD8CF" w:sz="4"/>
            </w:tcBorders>
            <w:shd w:fill="EEF4F1" w:color="auto" w:val="clear"/>
            <w:tcMar>
              <w:top w:type="dxa" w:w="80"/>
              <w:left w:type="dxa" w:w="100"/>
              <w:bottom w:type="dxa" w:w="80"/>
              <w:right w:type="dxa" w:w="100"/>
            </w:tcMar>
          </w:tcPr>
          <w:p>
            <w:r>
              <w:rPr>
                <w:b/>
                <w:bCs/>
                <w:sz w:val="19"/>
                <w:szCs w:val="19"/>
                <w:rFonts w:ascii="Calibri" w:cs="Calibri" w:eastAsia="Calibri" w:hAnsi="Calibri"/>
              </w:rPr>
              <w:t xml:space="preserve">Response</w:t>
            </w:r>
          </w:p>
        </w:tc>
      </w:tr>
      <w:tr>
        <w:tc>
          <w:tcPr>
            <w:tcW w:type="pct" w:w="30%"/>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bCs/>
                <w:i w:val="false"/>
                <w:iCs w:val="false"/>
                <w:sz w:val="19"/>
                <w:szCs w:val="19"/>
                <w:rFonts w:ascii="Calibri" w:cs="Calibri" w:eastAsia="Calibri" w:hAnsi="Calibri"/>
              </w:rPr>
              <w:t xml:space="preserve">Institution</w:t>
            </w:r>
          </w:p>
        </w:tc>
        <w:tc>
          <w:tcPr>
            <w:tcW w:type="pct" w:w="70%"/>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iCs/>
                <w:color w:val="65625B"/>
                <w:sz w:val="19"/>
                <w:szCs w:val="19"/>
                <w:rFonts w:ascii="Calibri" w:cs="Calibri" w:eastAsia="Calibri" w:hAnsi="Calibri"/>
              </w:rPr>
              <w:t xml:space="preserve">[Name]</w:t>
            </w:r>
          </w:p>
        </w:tc>
      </w:tr>
      <w:tr>
        <w:tc>
          <w:tcPr>
            <w:tcW w:type="pct" w:w="30%"/>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bCs/>
                <w:i w:val="false"/>
                <w:iCs w:val="false"/>
                <w:sz w:val="19"/>
                <w:szCs w:val="19"/>
                <w:rFonts w:ascii="Calibri" w:cs="Calibri" w:eastAsia="Calibri" w:hAnsi="Calibri"/>
              </w:rPr>
              <w:t xml:space="preserve">Approved by</w:t>
            </w:r>
          </w:p>
        </w:tc>
        <w:tc>
          <w:tcPr>
            <w:tcW w:type="pct" w:w="70%"/>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iCs/>
                <w:color w:val="65625B"/>
                <w:sz w:val="19"/>
                <w:szCs w:val="19"/>
                <w:rFonts w:ascii="Calibri" w:cs="Calibri" w:eastAsia="Calibri" w:hAnsi="Calibri"/>
              </w:rPr>
              <w:t xml:space="preserve">[Body or role]</w:t>
            </w:r>
          </w:p>
        </w:tc>
      </w:tr>
      <w:tr>
        <w:tc>
          <w:tcPr>
            <w:tcW w:type="pct" w:w="30%"/>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bCs/>
                <w:i w:val="false"/>
                <w:iCs w:val="false"/>
                <w:sz w:val="19"/>
                <w:szCs w:val="19"/>
                <w:rFonts w:ascii="Calibri" w:cs="Calibri" w:eastAsia="Calibri" w:hAnsi="Calibri"/>
              </w:rPr>
              <w:t xml:space="preserve">Effective date</w:t>
            </w:r>
          </w:p>
        </w:tc>
        <w:tc>
          <w:tcPr>
            <w:tcW w:type="pct" w:w="70%"/>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iCs/>
                <w:color w:val="65625B"/>
                <w:sz w:val="19"/>
                <w:szCs w:val="19"/>
                <w:rFonts w:ascii="Calibri" w:cs="Calibri" w:eastAsia="Calibri" w:hAnsi="Calibri"/>
              </w:rPr>
              <w:t xml:space="preserve">[Date]</w:t>
            </w:r>
          </w:p>
        </w:tc>
      </w:tr>
      <w:tr>
        <w:tc>
          <w:tcPr>
            <w:tcW w:type="pct" w:w="30%"/>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bCs/>
                <w:i w:val="false"/>
                <w:iCs w:val="false"/>
                <w:sz w:val="19"/>
                <w:szCs w:val="19"/>
                <w:rFonts w:ascii="Calibri" w:cs="Calibri" w:eastAsia="Calibri" w:hAnsi="Calibri"/>
              </w:rPr>
              <w:t xml:space="preserve">Next review of this table</w:t>
            </w:r>
          </w:p>
        </w:tc>
        <w:tc>
          <w:tcPr>
            <w:tcW w:type="pct" w:w="70%"/>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iCs/>
                <w:color w:val="65625B"/>
                <w:sz w:val="19"/>
                <w:szCs w:val="19"/>
                <w:rFonts w:ascii="Calibri" w:cs="Calibri" w:eastAsia="Calibri" w:hAnsi="Calibri"/>
              </w:rPr>
              <w:t xml:space="preserve">[Date]</w:t>
            </w:r>
          </w:p>
        </w:tc>
      </w:tr>
    </w:tbl>
    <w:p>
      <w:pPr>
        <w:spacing w:before="280" w:after="100"/>
      </w:pPr>
      <w:r>
        <w:rPr>
          <w:b/>
          <w:bCs/>
          <w:color w:val="01696F"/>
          <w:sz w:val="26"/>
          <w:szCs w:val="26"/>
          <w:rFonts w:ascii="Calibri" w:cs="Calibri" w:eastAsia="Calibri" w:hAnsi="Calibri"/>
        </w:rPr>
        <w:t xml:space="preserve">Who decides, by band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7%"/>
            <w:tcBorders>
              <w:top w:val="single" w:color="DCD8CF" w:sz="4"/>
              <w:left w:val="single" w:color="DCD8CF" w:sz="4"/>
              <w:bottom w:val="single" w:color="DCD8CF" w:sz="4"/>
              <w:right w:val="single" w:color="DCD8CF" w:sz="4"/>
            </w:tcBorders>
            <w:shd w:fill="EEF4F1" w:color="auto" w:val="clear"/>
            <w:tcMar>
              <w:top w:type="dxa" w:w="80"/>
              <w:left w:type="dxa" w:w="100"/>
              <w:bottom w:type="dxa" w:w="80"/>
              <w:right w:type="dxa" w:w="100"/>
            </w:tcMar>
          </w:tcPr>
          <w:p>
            <w:r>
              <w:rPr>
                <w:b/>
                <w:bCs/>
                <w:sz w:val="19"/>
                <w:szCs w:val="19"/>
                <w:rFonts w:ascii="Calibri" w:cs="Calibri" w:eastAsia="Calibri" w:hAnsi="Calibri"/>
              </w:rPr>
              <w:t xml:space="preserve">Band (total)</w:t>
            </w:r>
          </w:p>
        </w:tc>
        <w:tc>
          <w:tcPr>
            <w:tcW w:type="pct" w:w="21%"/>
            <w:tcBorders>
              <w:top w:val="single" w:color="DCD8CF" w:sz="4"/>
              <w:left w:val="single" w:color="DCD8CF" w:sz="4"/>
              <w:bottom w:val="single" w:color="DCD8CF" w:sz="4"/>
              <w:right w:val="single" w:color="DCD8CF" w:sz="4"/>
            </w:tcBorders>
            <w:shd w:fill="EEF4F1" w:color="auto" w:val="clear"/>
            <w:tcMar>
              <w:top w:type="dxa" w:w="80"/>
              <w:left w:type="dxa" w:w="100"/>
              <w:bottom w:type="dxa" w:w="80"/>
              <w:right w:type="dxa" w:w="100"/>
            </w:tcMar>
          </w:tcPr>
          <w:p>
            <w:r>
              <w:rPr>
                <w:b/>
                <w:bCs/>
                <w:sz w:val="19"/>
                <w:szCs w:val="19"/>
                <w:rFonts w:ascii="Calibri" w:cs="Calibri" w:eastAsia="Calibri" w:hAnsi="Calibri"/>
              </w:rPr>
              <w:t xml:space="preserve">Decides</w:t>
            </w:r>
          </w:p>
        </w:tc>
        <w:tc>
          <w:tcPr>
            <w:tcW w:type="pct" w:w="22%"/>
            <w:tcBorders>
              <w:top w:val="single" w:color="DCD8CF" w:sz="4"/>
              <w:left w:val="single" w:color="DCD8CF" w:sz="4"/>
              <w:bottom w:val="single" w:color="DCD8CF" w:sz="4"/>
              <w:right w:val="single" w:color="DCD8CF" w:sz="4"/>
            </w:tcBorders>
            <w:shd w:fill="EEF4F1" w:color="auto" w:val="clear"/>
            <w:tcMar>
              <w:top w:type="dxa" w:w="80"/>
              <w:left w:type="dxa" w:w="100"/>
              <w:bottom w:type="dxa" w:w="80"/>
              <w:right w:type="dxa" w:w="100"/>
            </w:tcMar>
          </w:tcPr>
          <w:p>
            <w:r>
              <w:rPr>
                <w:b/>
                <w:bCs/>
                <w:sz w:val="19"/>
                <w:szCs w:val="19"/>
                <w:rFonts w:ascii="Calibri" w:cs="Calibri" w:eastAsia="Calibri" w:hAnsi="Calibri"/>
              </w:rPr>
              <w:t xml:space="preserve">Review format</w:t>
            </w:r>
          </w:p>
        </w:tc>
        <w:tc>
          <w:tcPr>
            <w:tcW w:type="pct" w:w="24%"/>
            <w:tcBorders>
              <w:top w:val="single" w:color="DCD8CF" w:sz="4"/>
              <w:left w:val="single" w:color="DCD8CF" w:sz="4"/>
              <w:bottom w:val="single" w:color="DCD8CF" w:sz="4"/>
              <w:right w:val="single" w:color="DCD8CF" w:sz="4"/>
            </w:tcBorders>
            <w:shd w:fill="EEF4F1" w:color="auto" w:val="clear"/>
            <w:tcMar>
              <w:top w:type="dxa" w:w="80"/>
              <w:left w:type="dxa" w:w="100"/>
              <w:bottom w:type="dxa" w:w="80"/>
              <w:right w:type="dxa" w:w="100"/>
            </w:tcMar>
          </w:tcPr>
          <w:p>
            <w:r>
              <w:rPr>
                <w:b/>
                <w:bCs/>
                <w:sz w:val="19"/>
                <w:szCs w:val="19"/>
                <w:rFonts w:ascii="Calibri" w:cs="Calibri" w:eastAsia="Calibri" w:hAnsi="Calibri"/>
              </w:rPr>
              <w:t xml:space="preserve">Must consult</w:t>
            </w:r>
          </w:p>
        </w:tc>
        <w:tc>
          <w:tcPr>
            <w:tcW w:type="pct" w:w="16%"/>
            <w:tcBorders>
              <w:top w:val="single" w:color="DCD8CF" w:sz="4"/>
              <w:left w:val="single" w:color="DCD8CF" w:sz="4"/>
              <w:bottom w:val="single" w:color="DCD8CF" w:sz="4"/>
              <w:right w:val="single" w:color="DCD8CF" w:sz="4"/>
            </w:tcBorders>
            <w:shd w:fill="EEF4F1" w:color="auto" w:val="clear"/>
            <w:tcMar>
              <w:top w:type="dxa" w:w="80"/>
              <w:left w:type="dxa" w:w="100"/>
              <w:bottom w:type="dxa" w:w="80"/>
              <w:right w:type="dxa" w:w="100"/>
            </w:tcMar>
          </w:tcPr>
          <w:p>
            <w:r>
              <w:rPr>
                <w:b/>
                <w:bCs/>
                <w:sz w:val="19"/>
                <w:szCs w:val="19"/>
                <w:rFonts w:ascii="Calibri" w:cs="Calibri" w:eastAsia="Calibri" w:hAnsi="Calibri"/>
              </w:rPr>
              <w:t xml:space="preserve">Target time</w:t>
            </w:r>
          </w:p>
        </w:tc>
      </w:tr>
      <w:tr>
        <w:tc>
          <w:tcPr>
            <w:tcW w:type="pct" w:w="17%"/>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bCs/>
                <w:i w:val="false"/>
                <w:iCs w:val="false"/>
                <w:sz w:val="19"/>
                <w:szCs w:val="19"/>
                <w:rFonts w:ascii="Calibri" w:cs="Calibri" w:eastAsia="Calibri" w:hAnsi="Calibri"/>
              </w:rPr>
              <w:t xml:space="preserve">Low (5–10)</w:t>
            </w:r>
          </w:p>
        </w:tc>
        <w:tc>
          <w:tcPr>
            <w:tcW w:type="pct" w:w="21%"/>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t xml:space="preserve">Unit or department lead</w:t>
            </w:r>
          </w:p>
        </w:tc>
        <w:tc>
          <w:tcPr>
            <w:tcW w:type="pct" w:w="22%"/>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t xml:space="preserve">Self-assessment</w:t>
            </w:r>
          </w:p>
        </w:tc>
        <w:tc>
          <w:tcPr>
            <w:tcW w:type="pct" w:w="24%"/>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iCs/>
                <w:color w:val="65625B"/>
                <w:sz w:val="19"/>
                <w:szCs w:val="19"/>
                <w:rFonts w:ascii="Calibri" w:cs="Calibri" w:eastAsia="Calibri" w:hAnsi="Calibri"/>
              </w:rPr>
              <w:t xml:space="preserve">[e.g., IT if new tool]</w:t>
            </w:r>
          </w:p>
        </w:tc>
        <w:tc>
          <w:tcPr>
            <w:tcW w:type="pct" w:w="16%"/>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t xml:space="preserve">Days</w:t>
            </w:r>
          </w:p>
        </w:tc>
      </w:tr>
      <w:tr>
        <w:tc>
          <w:tcPr>
            <w:tcW w:type="pct" w:w="17%"/>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bCs/>
                <w:i w:val="false"/>
                <w:iCs w:val="false"/>
                <w:sz w:val="19"/>
                <w:szCs w:val="19"/>
                <w:rFonts w:ascii="Calibri" w:cs="Calibri" w:eastAsia="Calibri" w:hAnsi="Calibri"/>
              </w:rPr>
              <w:t xml:space="preserve">Moderate (11–15)</w:t>
            </w:r>
          </w:p>
        </w:tc>
        <w:tc>
          <w:tcPr>
            <w:tcW w:type="pct" w:w="21%"/>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t xml:space="preserve">AI governance lead</w:t>
            </w:r>
          </w:p>
        </w:tc>
        <w:tc>
          <w:tcPr>
            <w:tcW w:type="pct" w:w="22%"/>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t xml:space="preserve">Cross-functional review</w:t>
            </w:r>
          </w:p>
        </w:tc>
        <w:tc>
          <w:tcPr>
            <w:tcW w:type="pct" w:w="24%"/>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iCs/>
                <w:color w:val="65625B"/>
                <w:sz w:val="19"/>
                <w:szCs w:val="19"/>
                <w:rFonts w:ascii="Calibri" w:cs="Calibri" w:eastAsia="Calibri" w:hAnsi="Calibri"/>
              </w:rPr>
              <w:t xml:space="preserve">[e.g., privacy office]</w:t>
            </w:r>
          </w:p>
        </w:tc>
        <w:tc>
          <w:tcPr>
            <w:tcW w:type="pct" w:w="16%"/>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t xml:space="preserve">About 2 weeks</w:t>
            </w:r>
          </w:p>
        </w:tc>
      </w:tr>
      <w:tr>
        <w:tc>
          <w:tcPr>
            <w:tcW w:type="pct" w:w="17%"/>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bCs/>
                <w:i w:val="false"/>
                <w:iCs w:val="false"/>
                <w:sz w:val="19"/>
                <w:szCs w:val="19"/>
                <w:rFonts w:ascii="Calibri" w:cs="Calibri" w:eastAsia="Calibri" w:hAnsi="Calibri"/>
              </w:rPr>
              <w:t xml:space="preserve">High (16–20)</w:t>
            </w:r>
          </w:p>
        </w:tc>
        <w:tc>
          <w:tcPr>
            <w:tcW w:type="pct" w:w="21%"/>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t xml:space="preserve">AI governance council</w:t>
            </w:r>
          </w:p>
        </w:tc>
        <w:tc>
          <w:tcPr>
            <w:tcW w:type="pct" w:w="22%"/>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t xml:space="preserve">Full specialist review</w:t>
            </w:r>
          </w:p>
        </w:tc>
        <w:tc>
          <w:tcPr>
            <w:tcW w:type="pct" w:w="24%"/>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t xml:space="preserve">Privacy, security, legal, accessibility</w:t>
            </w:r>
          </w:p>
        </w:tc>
        <w:tc>
          <w:tcPr>
            <w:tcW w:type="pct" w:w="16%"/>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t xml:space="preserve">About 4–6 weeks</w:t>
            </w:r>
          </w:p>
        </w:tc>
      </w:tr>
      <w:tr>
        <w:tc>
          <w:tcPr>
            <w:tcW w:type="pct" w:w="17%"/>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bCs/>
                <w:i w:val="false"/>
                <w:iCs w:val="false"/>
                <w:sz w:val="19"/>
                <w:szCs w:val="19"/>
                <w:rFonts w:ascii="Calibri" w:cs="Calibri" w:eastAsia="Calibri" w:hAnsi="Calibri"/>
              </w:rPr>
              <w:t xml:space="preserve">Critical (21–25)</w:t>
            </w:r>
          </w:p>
        </w:tc>
        <w:tc>
          <w:tcPr>
            <w:tcW w:type="pct" w:w="21%"/>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t xml:space="preserve">Executive sponsors</w:t>
            </w:r>
          </w:p>
        </w:tc>
        <w:tc>
          <w:tcPr>
            <w:tcW w:type="pct" w:w="22%"/>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t xml:space="preserve">Extended review; affected groups consulted</w:t>
            </w:r>
          </w:p>
        </w:tc>
        <w:tc>
          <w:tcPr>
            <w:tcW w:type="pct" w:w="24%"/>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t xml:space="preserve">All relevant specialists, in writing</w:t>
            </w:r>
          </w:p>
        </w:tc>
        <w:tc>
          <w:tcPr>
            <w:tcW w:type="pct" w:w="16%"/>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t xml:space="preserve">As long as needed</w:t>
            </w:r>
          </w:p>
        </w:tc>
      </w:tr>
    </w:tbl>
    <w:p>
      <w:pPr>
        <w:spacing w:before="280" w:after="100"/>
      </w:pPr>
      <w:r>
        <w:rPr>
          <w:b/>
          <w:bCs/>
          <w:color w:val="01696F"/>
          <w:sz w:val="26"/>
          <w:szCs w:val="26"/>
          <w:rFonts w:ascii="Calibri" w:cs="Calibri" w:eastAsia="Calibri" w:hAnsi="Calibri"/>
        </w:rPr>
        <w:t xml:space="preserve">Escalation rule</w:t>
      </w:r>
    </w:p>
    <w:p>
      <w:pPr>
        <w:spacing w:after="120" w:before="0"/>
      </w:pPr>
      <w:r>
        <w:rPr>
          <w:sz w:val="21"/>
          <w:szCs w:val="21"/>
          <w:rFonts w:ascii="Calibri" w:cs="Calibri" w:eastAsia="Calibri" w:hAnsi="Calibri"/>
        </w:rPr>
        <w:t xml:space="preserve">A score of 5 on Ethics &amp; compliance or Stakeholder impact escalates the decision one level, whatever the total. [Add any other escalation rules here.]</w:t>
      </w:r>
    </w:p>
    <w:p>
      <w:pPr>
        <w:spacing w:before="280" w:after="100"/>
      </w:pPr>
      <w:r>
        <w:rPr>
          <w:b/>
          <w:bCs/>
          <w:color w:val="01696F"/>
          <w:sz w:val="26"/>
          <w:szCs w:val="26"/>
          <w:rFonts w:ascii="Calibri" w:cs="Calibri" w:eastAsia="Calibri" w:hAnsi="Calibri"/>
        </w:rPr>
        <w:t xml:space="preserve">Named roles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tcBorders>
              <w:top w:val="single" w:color="DCD8CF" w:sz="4"/>
              <w:left w:val="single" w:color="DCD8CF" w:sz="4"/>
              <w:bottom w:val="single" w:color="DCD8CF" w:sz="4"/>
              <w:right w:val="single" w:color="DCD8CF" w:sz="4"/>
            </w:tcBorders>
            <w:shd w:fill="EEF4F1" w:color="auto" w:val="clear"/>
            <w:tcMar>
              <w:top w:type="dxa" w:w="80"/>
              <w:left w:type="dxa" w:w="100"/>
              <w:bottom w:type="dxa" w:w="80"/>
              <w:right w:type="dxa" w:w="100"/>
            </w:tcMar>
          </w:tcPr>
          <w:p>
            <w:r>
              <w:rPr>
                <w:b/>
                <w:bCs/>
                <w:sz w:val="19"/>
                <w:szCs w:val="19"/>
                <w:rFonts w:ascii="Calibri" w:cs="Calibri" w:eastAsia="Calibri" w:hAnsi="Calibri"/>
              </w:rPr>
              <w:t xml:space="preserve">Role</w:t>
            </w:r>
          </w:p>
        </w:tc>
        <w:tc>
          <w:tcPr>
            <w:tcW w:type="pct" w:w="33%"/>
            <w:tcBorders>
              <w:top w:val="single" w:color="DCD8CF" w:sz="4"/>
              <w:left w:val="single" w:color="DCD8CF" w:sz="4"/>
              <w:bottom w:val="single" w:color="DCD8CF" w:sz="4"/>
              <w:right w:val="single" w:color="DCD8CF" w:sz="4"/>
            </w:tcBorders>
            <w:shd w:fill="EEF4F1" w:color="auto" w:val="clear"/>
            <w:tcMar>
              <w:top w:type="dxa" w:w="80"/>
              <w:left w:type="dxa" w:w="100"/>
              <w:bottom w:type="dxa" w:w="80"/>
              <w:right w:type="dxa" w:w="100"/>
            </w:tcMar>
          </w:tcPr>
          <w:p>
            <w:r>
              <w:rPr>
                <w:b/>
                <w:bCs/>
                <w:sz w:val="19"/>
                <w:szCs w:val="19"/>
                <w:rFonts w:ascii="Calibri" w:cs="Calibri" w:eastAsia="Calibri" w:hAnsi="Calibri"/>
              </w:rPr>
              <w:t xml:space="preserve">Held by</w:t>
            </w:r>
          </w:p>
        </w:tc>
        <w:tc>
          <w:tcPr>
            <w:tcW w:type="pct" w:w="33%"/>
            <w:tcBorders>
              <w:top w:val="single" w:color="DCD8CF" w:sz="4"/>
              <w:left w:val="single" w:color="DCD8CF" w:sz="4"/>
              <w:bottom w:val="single" w:color="DCD8CF" w:sz="4"/>
              <w:right w:val="single" w:color="DCD8CF" w:sz="4"/>
            </w:tcBorders>
            <w:shd w:fill="EEF4F1" w:color="auto" w:val="clear"/>
            <w:tcMar>
              <w:top w:type="dxa" w:w="80"/>
              <w:left w:type="dxa" w:w="100"/>
              <w:bottom w:type="dxa" w:w="80"/>
              <w:right w:type="dxa" w:w="100"/>
            </w:tcMar>
          </w:tcPr>
          <w:p>
            <w:r>
              <w:rPr>
                <w:b/>
                <w:bCs/>
                <w:sz w:val="19"/>
                <w:szCs w:val="19"/>
                <w:rFonts w:ascii="Calibri" w:cs="Calibri" w:eastAsia="Calibri" w:hAnsi="Calibri"/>
              </w:rPr>
              <w:t xml:space="preserve">Backup</w:t>
            </w:r>
          </w:p>
        </w:tc>
      </w:tr>
      <w:tr>
        <w:tc>
          <w:tcPr>
            <w:tcW w:type="pct" w:w="34%"/>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bCs/>
                <w:i w:val="false"/>
                <w:iCs w:val="false"/>
                <w:sz w:val="19"/>
                <w:szCs w:val="19"/>
                <w:rFonts w:ascii="Calibri" w:cs="Calibri" w:eastAsia="Calibri" w:hAnsi="Calibri"/>
              </w:rPr>
              <w:t xml:space="preserve">AI governance lead</w:t>
            </w:r>
          </w:p>
        </w:tc>
        <w:tc>
          <w:tcPr>
            <w:tcW w:type="pct" w:w="33%"/>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iCs/>
                <w:color w:val="65625B"/>
                <w:sz w:val="19"/>
                <w:szCs w:val="19"/>
                <w:rFonts w:ascii="Calibri" w:cs="Calibri" w:eastAsia="Calibri" w:hAnsi="Calibri"/>
              </w:rPr>
              <w:t xml:space="preserve">[Name, title]</w:t>
            </w:r>
          </w:p>
        </w:tc>
        <w:tc>
          <w:tcPr>
            <w:tcW w:type="pct" w:w="33%"/>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iCs/>
                <w:color w:val="65625B"/>
                <w:sz w:val="19"/>
                <w:szCs w:val="19"/>
                <w:rFonts w:ascii="Calibri" w:cs="Calibri" w:eastAsia="Calibri" w:hAnsi="Calibri"/>
              </w:rPr>
              <w:t xml:space="preserve">[Name, title]</w:t>
            </w:r>
          </w:p>
        </w:tc>
      </w:tr>
      <w:tr>
        <w:tc>
          <w:tcPr>
            <w:tcW w:type="pct" w:w="34%"/>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bCs/>
                <w:i w:val="false"/>
                <w:iCs w:val="false"/>
                <w:sz w:val="19"/>
                <w:szCs w:val="19"/>
                <w:rFonts w:ascii="Calibri" w:cs="Calibri" w:eastAsia="Calibri" w:hAnsi="Calibri"/>
              </w:rPr>
              <w:t xml:space="preserve">AI governance council chair</w:t>
            </w:r>
          </w:p>
        </w:tc>
        <w:tc>
          <w:tcPr>
            <w:tcW w:type="pct" w:w="33%"/>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iCs/>
                <w:color w:val="65625B"/>
                <w:sz w:val="19"/>
                <w:szCs w:val="19"/>
                <w:rFonts w:ascii="Calibri" w:cs="Calibri" w:eastAsia="Calibri" w:hAnsi="Calibri"/>
              </w:rPr>
              <w:t xml:space="preserve">[Name, title]</w:t>
            </w:r>
          </w:p>
        </w:tc>
        <w:tc>
          <w:tcPr>
            <w:tcW w:type="pct" w:w="33%"/>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iCs/>
                <w:color w:val="65625B"/>
                <w:sz w:val="19"/>
                <w:szCs w:val="19"/>
                <w:rFonts w:ascii="Calibri" w:cs="Calibri" w:eastAsia="Calibri" w:hAnsi="Calibri"/>
              </w:rPr>
              <w:t xml:space="preserve">[Name, title]</w:t>
            </w:r>
          </w:p>
        </w:tc>
      </w:tr>
      <w:tr>
        <w:tc>
          <w:tcPr>
            <w:tcW w:type="pct" w:w="34%"/>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bCs/>
                <w:i w:val="false"/>
                <w:iCs w:val="false"/>
                <w:sz w:val="19"/>
                <w:szCs w:val="19"/>
                <w:rFonts w:ascii="Calibri" w:cs="Calibri" w:eastAsia="Calibri" w:hAnsi="Calibri"/>
              </w:rPr>
              <w:t xml:space="preserve">Executive sponsors</w:t>
            </w:r>
          </w:p>
        </w:tc>
        <w:tc>
          <w:tcPr>
            <w:tcW w:type="pct" w:w="33%"/>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iCs/>
                <w:color w:val="65625B"/>
                <w:sz w:val="19"/>
                <w:szCs w:val="19"/>
                <w:rFonts w:ascii="Calibri" w:cs="Calibri" w:eastAsia="Calibri" w:hAnsi="Calibri"/>
              </w:rPr>
              <w:t xml:space="preserve">[Names, titles]</w:t>
            </w:r>
          </w:p>
        </w:tc>
        <w:tc>
          <w:tcPr>
            <w:tcW w:type="pct" w:w="33%"/>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r>
          </w:p>
        </w:tc>
      </w:tr>
      <w:tr>
        <w:tc>
          <w:tcPr>
            <w:tcW w:type="pct" w:w="34%"/>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bCs/>
                <w:i w:val="false"/>
                <w:iCs w:val="false"/>
                <w:sz w:val="19"/>
                <w:szCs w:val="19"/>
                <w:rFonts w:ascii="Calibri" w:cs="Calibri" w:eastAsia="Calibri" w:hAnsi="Calibri"/>
              </w:rPr>
              <w:t xml:space="preserve">Privacy reviewer</w:t>
            </w:r>
          </w:p>
        </w:tc>
        <w:tc>
          <w:tcPr>
            <w:tcW w:type="pct" w:w="33%"/>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iCs/>
                <w:color w:val="65625B"/>
                <w:sz w:val="19"/>
                <w:szCs w:val="19"/>
                <w:rFonts w:ascii="Calibri" w:cs="Calibri" w:eastAsia="Calibri" w:hAnsi="Calibri"/>
              </w:rPr>
              <w:t xml:space="preserve">[Name, title]</w:t>
            </w:r>
          </w:p>
        </w:tc>
        <w:tc>
          <w:tcPr>
            <w:tcW w:type="pct" w:w="33%"/>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r>
          </w:p>
        </w:tc>
      </w:tr>
      <w:tr>
        <w:tc>
          <w:tcPr>
            <w:tcW w:type="pct" w:w="34%"/>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bCs/>
                <w:i w:val="false"/>
                <w:iCs w:val="false"/>
                <w:sz w:val="19"/>
                <w:szCs w:val="19"/>
                <w:rFonts w:ascii="Calibri" w:cs="Calibri" w:eastAsia="Calibri" w:hAnsi="Calibri"/>
              </w:rPr>
              <w:t xml:space="preserve">Security reviewer</w:t>
            </w:r>
          </w:p>
        </w:tc>
        <w:tc>
          <w:tcPr>
            <w:tcW w:type="pct" w:w="33%"/>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iCs/>
                <w:color w:val="65625B"/>
                <w:sz w:val="19"/>
                <w:szCs w:val="19"/>
                <w:rFonts w:ascii="Calibri" w:cs="Calibri" w:eastAsia="Calibri" w:hAnsi="Calibri"/>
              </w:rPr>
              <w:t xml:space="preserve">[Name, title]</w:t>
            </w:r>
          </w:p>
        </w:tc>
        <w:tc>
          <w:tcPr>
            <w:tcW w:type="pct" w:w="33%"/>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r>
          </w:p>
        </w:tc>
      </w:tr>
      <w:tr>
        <w:tc>
          <w:tcPr>
            <w:tcW w:type="pct" w:w="34%"/>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bCs/>
                <w:i w:val="false"/>
                <w:iCs w:val="false"/>
                <w:sz w:val="19"/>
                <w:szCs w:val="19"/>
                <w:rFonts w:ascii="Calibri" w:cs="Calibri" w:eastAsia="Calibri" w:hAnsi="Calibri"/>
              </w:rPr>
              <w:t xml:space="preserve">Legal reviewer</w:t>
            </w:r>
          </w:p>
        </w:tc>
        <w:tc>
          <w:tcPr>
            <w:tcW w:type="pct" w:w="33%"/>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iCs/>
                <w:color w:val="65625B"/>
                <w:sz w:val="19"/>
                <w:szCs w:val="19"/>
                <w:rFonts w:ascii="Calibri" w:cs="Calibri" w:eastAsia="Calibri" w:hAnsi="Calibri"/>
              </w:rPr>
              <w:t xml:space="preserve">[Name, title]</w:t>
            </w:r>
          </w:p>
        </w:tc>
        <w:tc>
          <w:tcPr>
            <w:tcW w:type="pct" w:w="33%"/>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r>
          </w:p>
        </w:tc>
      </w:tr>
      <w:tr>
        <w:tc>
          <w:tcPr>
            <w:tcW w:type="pct" w:w="34%"/>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bCs/>
                <w:i w:val="false"/>
                <w:iCs w:val="false"/>
                <w:sz w:val="19"/>
                <w:szCs w:val="19"/>
                <w:rFonts w:ascii="Calibri" w:cs="Calibri" w:eastAsia="Calibri" w:hAnsi="Calibri"/>
              </w:rPr>
              <w:t xml:space="preserve">Accessibility reviewer</w:t>
            </w:r>
          </w:p>
        </w:tc>
        <w:tc>
          <w:tcPr>
            <w:tcW w:type="pct" w:w="33%"/>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iCs/>
                <w:color w:val="65625B"/>
                <w:sz w:val="19"/>
                <w:szCs w:val="19"/>
                <w:rFonts w:ascii="Calibri" w:cs="Calibri" w:eastAsia="Calibri" w:hAnsi="Calibri"/>
              </w:rPr>
              <w:t xml:space="preserve">[Name, title]</w:t>
            </w:r>
          </w:p>
        </w:tc>
        <w:tc>
          <w:tcPr>
            <w:tcW w:type="pct" w:w="33%"/>
            <w:tcBorders>
              <w:top w:val="single" w:color="DCD8CF" w:sz="4"/>
              <w:left w:val="single" w:color="DCD8CF" w:sz="4"/>
              <w:bottom w:val="single" w:color="DCD8CF" w:sz="4"/>
              <w:right w:val="single" w:color="DCD8CF" w:sz="4"/>
            </w:tcBorders>
            <w:tcMar>
              <w:top w:type="dxa" w:w="80"/>
              <w:left w:type="dxa" w:w="100"/>
              <w:bottom w:type="dxa" w:w="80"/>
              <w:right w:type="dxa" w:w="100"/>
            </w:tcMar>
          </w:tcPr>
          <w:p>
            <w:r>
              <w:rPr>
                <w:b w:val="false"/>
                <w:bCs w:val="false"/>
                <w:i w:val="false"/>
                <w:iCs w:val="false"/>
                <w:sz w:val="19"/>
                <w:szCs w:val="19"/>
                <w:rFonts w:ascii="Calibri" w:cs="Calibri" w:eastAsia="Calibri" w:hAnsi="Calibri"/>
              </w:rPr>
            </w:r>
          </w:p>
        </w:tc>
      </w:tr>
    </w:tbl>
    <w:p>
      <w:pPr>
        <w:spacing w:before="280" w:after="100"/>
      </w:pPr>
      <w:r>
        <w:rPr>
          <w:b/>
          <w:bCs/>
          <w:color w:val="01696F"/>
          <w:sz w:val="26"/>
          <w:szCs w:val="26"/>
          <w:rFonts w:ascii="Calibri" w:cs="Calibri" w:eastAsia="Calibri" w:hAnsi="Calibri"/>
        </w:rPr>
        <w:t xml:space="preserve">Recording decisions</w:t>
      </w:r>
    </w:p>
    <w:p>
      <w:pPr>
        <w:spacing w:after="120" w:before="0"/>
      </w:pPr>
      <w:r>
        <w:rPr>
          <w:sz w:val="21"/>
          <w:szCs w:val="21"/>
          <w:rFonts w:ascii="Calibri" w:cs="Calibri" w:eastAsia="Calibri" w:hAnsi="Calibri"/>
        </w:rPr>
        <w:t xml:space="preserve">Every decision records: the total and band, the decision (proceed, revise, pause, or stop), conditions, the rationale, any dissent, and the date. Approved initiatives are entered in the institution's AI registry.</w:t>
      </w:r>
    </w:p>
    <w:p>
      <w:pPr>
        <w:spacing w:before="280" w:after="100"/>
      </w:pPr>
      <w:r>
        <w:rPr>
          <w:b/>
          <w:bCs/>
          <w:color w:val="01696F"/>
          <w:sz w:val="26"/>
          <w:szCs w:val="26"/>
          <w:rFonts w:ascii="Calibri" w:cs="Calibri" w:eastAsia="Calibri" w:hAnsi="Calibri"/>
        </w:rPr>
        <w:t xml:space="preserve">Appeals</w:t>
      </w:r>
    </w:p>
    <w:p>
      <w:pPr>
        <w:spacing w:after="120" w:before="0"/>
      </w:pPr>
      <w:r>
        <w:rPr>
          <w:i/>
          <w:iCs/>
          <w:color w:val="65625B"/>
          <w:sz w:val="21"/>
          <w:szCs w:val="21"/>
          <w:rFonts w:ascii="Calibri" w:cs="Calibri" w:eastAsia="Calibri" w:hAnsi="Calibri"/>
        </w:rPr>
        <w:t xml:space="preserve">[Describe how a proposer or affected group can request reconsideration, and who hears it.]</w:t>
      </w:r>
    </w:p>
    <w:sectPr>
      <w:footerReference w:type="default" r:id="rId6"/>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20" w:before="0"/>
    </w:pPr>
    <w:r>
      <w:rPr>
        <w:color w:val="65625B"/>
        <w:sz w:val="16"/>
        <w:szCs w:val="16"/>
        <w:rFonts w:ascii="Calibri" w:cs="Calibri" w:eastAsia="Calibri" w:hAnsi="Calibri"/>
      </w:rPr>
      <w:t xml:space="preserve">AI Strategic Compass · CC BY 4.0 · Adapt freely for your institution.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Rights Template</dc:title>
  <dc:creator>AI Strategic Compass</dc:creator>
  <cp:lastModifiedBy>Un-named</cp:lastModifiedBy>
  <cp:revision>1</cp:revision>
  <dcterms:created xsi:type="dcterms:W3CDTF">2026-10-03T19:30:50.559Z</dcterms:created>
  <dcterms:modified xsi:type="dcterms:W3CDTF">2026-10-03T19:30:50.559Z</dcterms:modified>
</cp:coreProperties>
</file>

<file path=docProps/custom.xml><?xml version="1.0" encoding="utf-8"?>
<Properties xmlns="http://schemas.openxmlformats.org/officeDocument/2006/custom-properties" xmlns:vt="http://schemas.openxmlformats.org/officeDocument/2006/docPropsVTypes"/>
</file>